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独立性检验的基本思想及其初步应用易错点-高中数学选修2-3第三章</w:t>
      </w:r>
    </w:p>
    <w:p>
      <w:pPr>
        <w:pStyle w:val="2"/>
        <w:rPr>
          <w:rFonts w:hint="eastAsia" w:ascii="宋体" w:hAnsi="宋体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1．例题：</w:t>
      </w:r>
    </w:p>
    <w:p>
      <w:pPr>
        <w:pStyle w:val="5"/>
        <w:adjustRightInd w:val="0"/>
        <w:snapToGrid w:val="0"/>
        <w:ind w:left="420" w:left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例1．在对人们的休闲方式的一次调查中，共调查了124人，其中女性70人，男性54人。女性中有43人主要的休闲方式是看电视，另外27人主要的休闲方式是运动；男性中有21人主要的休闲方式是看电视，另外33人主要的休闲方式是运动。</w:t>
      </w:r>
    </w:p>
    <w:p>
      <w:pPr>
        <w:pStyle w:val="5"/>
        <w:adjustRightInd w:val="0"/>
        <w:snapToGrid w:val="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（1）根据以上数据建立一个2× 2列联表；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>
        <w:rPr>
          <w:sz w:val="18"/>
          <w:szCs w:val="18"/>
        </w:rPr>
        <w:t>（2）判断性别与休闲方式是否有关系。</w:t>
      </w:r>
    </w:p>
    <w:p>
      <w:pPr>
        <w:pStyle w:val="5"/>
        <w:adjustRightInd w:val="0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解：（1）2× 2的列联表：                                                </w:t>
      </w:r>
    </w:p>
    <w:tbl>
      <w:tblPr>
        <w:tblStyle w:val="13"/>
        <w:tblW w:w="5907" w:type="dxa"/>
        <w:tblInd w:w="1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472"/>
        <w:gridCol w:w="1473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72" w:type="dxa"/>
            <w:tcBorders>
              <w:tl2br w:val="single" w:color="auto" w:sz="4" w:space="0"/>
            </w:tcBorders>
            <w:vAlign w:val="center"/>
          </w:tcPr>
          <w:p>
            <w:pPr>
              <w:pStyle w:val="5"/>
              <w:adjustRightInd w:val="0"/>
              <w:snapToGrid w:val="0"/>
              <w:ind w:firstLine="360" w:firstLineChars="200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休闲方式</w:t>
            </w:r>
          </w:p>
          <w:p>
            <w:pPr>
              <w:pStyle w:val="5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性别</w:t>
            </w:r>
          </w:p>
        </w:tc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看电视</w:t>
            </w:r>
          </w:p>
        </w:tc>
        <w:tc>
          <w:tcPr>
            <w:tcW w:w="1473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运动</w:t>
            </w:r>
          </w:p>
        </w:tc>
        <w:tc>
          <w:tcPr>
            <w:tcW w:w="149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女</w:t>
            </w:r>
          </w:p>
        </w:tc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73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男</w:t>
            </w:r>
          </w:p>
        </w:tc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73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9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总计</w:t>
            </w:r>
          </w:p>
        </w:tc>
        <w:tc>
          <w:tcPr>
            <w:tcW w:w="1472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73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9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</w:tbl>
    <w:p>
      <w:pPr>
        <w:pStyle w:val="5"/>
        <w:adjustRightInd w:val="0"/>
        <w:snapToGrid w:val="0"/>
        <w:rPr>
          <w:rFonts w:hint="eastAsia"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 xml:space="preserve">   </w:t>
      </w:r>
    </w:p>
    <w:p>
      <w:pPr>
        <w:pStyle w:val="5"/>
        <w:adjustRightInd w:val="0"/>
        <w:snapToGrid w:val="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（2）假设“休闲方式与性别无关”                                     </w:t>
      </w:r>
    </w:p>
    <w:p>
      <w:pPr>
        <w:pStyle w:val="5"/>
        <w:adjustRightInd w:val="0"/>
        <w:snapToGrid w:val="0"/>
        <w:ind w:firstLine="360" w:firstLineChars="200"/>
        <w:rPr>
          <w:rFonts w:hint="eastAsia"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仿宋_GB2312" w:cs="Times New Roman"/>
          <w:sz w:val="18"/>
          <w:szCs w:val="18"/>
        </w:rPr>
        <w:t>χ</w:t>
      </w:r>
      <w:r>
        <w:rPr>
          <w:rFonts w:ascii="Times New Roman" w:hAnsi="Times New Roman" w:eastAsia="仿宋_GB2312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position w:val="-24"/>
          <w:sz w:val="18"/>
          <w:szCs w:val="18"/>
        </w:rPr>
        <w:object>
          <v:shape id="_x0000_i1030" o:spt="75" type="#_x0000_t75" style="height:33pt;width:16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hint="eastAsia" w:ascii="Times New Roman" w:hAnsi="Times New Roman" w:cs="Times New Roman"/>
          <w:sz w:val="18"/>
          <w:szCs w:val="18"/>
        </w:rPr>
        <w:t xml:space="preserve">                  </w:t>
      </w:r>
    </w:p>
    <w:p>
      <w:pPr>
        <w:ind w:left="420" w:leftChars="200"/>
        <w:rPr>
          <w:rFonts w:hint="eastAsia"/>
          <w:bCs/>
          <w:sz w:val="18"/>
          <w:szCs w:val="18"/>
        </w:rPr>
      </w:pPr>
      <w:r>
        <w:rPr>
          <w:rFonts w:hint="eastAsia"/>
          <w:sz w:val="18"/>
          <w:szCs w:val="18"/>
        </w:rPr>
        <w:t>因为</w:t>
      </w:r>
      <w:r>
        <w:rPr>
          <w:rFonts w:eastAsia="仿宋_GB2312"/>
          <w:sz w:val="18"/>
          <w:szCs w:val="18"/>
        </w:rPr>
        <w:t>χ</w:t>
      </w:r>
      <w:r>
        <w:rPr>
          <w:rFonts w:eastAsia="仿宋_GB2312"/>
          <w:sz w:val="18"/>
          <w:szCs w:val="18"/>
          <w:vertAlign w:val="superscript"/>
        </w:rPr>
        <w:t>2</w:t>
      </w:r>
      <w:r>
        <w:rPr>
          <w:position w:val="-6"/>
          <w:sz w:val="18"/>
          <w:szCs w:val="18"/>
        </w:rPr>
        <w:object>
          <v:shape id="_x0000_i1031" o:spt="75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6" r:id="rId10">
            <o:LockedField>false</o:LockedField>
          </o:OLEObject>
        </w:object>
      </w:r>
      <w:r>
        <w:rPr>
          <w:rFonts w:hint="eastAsia"/>
          <w:sz w:val="18"/>
          <w:szCs w:val="18"/>
        </w:rPr>
        <w:t>，所以有理由认为假设“休闲方式与性别无关”是不合理的，即有97.5%的把握认为“休闲方式与性别有关”。</w:t>
      </w:r>
    </w:p>
    <w:p>
      <w:pPr>
        <w:ind w:left="420" w:leftChars="200"/>
        <w:rPr>
          <w:sz w:val="18"/>
          <w:szCs w:val="18"/>
        </w:rPr>
      </w:pPr>
      <w:r>
        <w:rPr>
          <w:rFonts w:hint="eastAsia"/>
          <w:bCs/>
          <w:sz w:val="18"/>
          <w:szCs w:val="18"/>
        </w:rPr>
        <w:t>例2．气管炎是一种常见的呼吸道疾病，医药研究人员对两种中草药治疗慢性气管炎的疗效进行对比，所得数据如表所示．问它们的疗效有无差异（可靠性不低于99%）？</w:t>
      </w:r>
    </w:p>
    <w:tbl>
      <w:tblPr>
        <w:tblStyle w:val="13"/>
        <w:tblW w:w="6396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331"/>
        <w:gridCol w:w="1757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20" w:type="dxa"/>
            <w:tcBorders>
              <w:bottom w:val="single" w:color="auto" w:sz="4" w:space="0"/>
            </w:tcBorders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有效</w:t>
            </w:r>
          </w:p>
        </w:tc>
        <w:tc>
          <w:tcPr>
            <w:tcW w:w="1757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无效</w:t>
            </w:r>
          </w:p>
        </w:tc>
        <w:tc>
          <w:tcPr>
            <w:tcW w:w="1688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620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复方江剪刀草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184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20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胆黄片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620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合计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275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345</w:t>
            </w:r>
          </w:p>
        </w:tc>
      </w:tr>
    </w:tbl>
    <w:p>
      <w:pPr>
        <w:ind w:left="420" w:left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分析：</w:t>
      </w:r>
      <w:r>
        <w:rPr>
          <w:rFonts w:hint="eastAsia"/>
          <w:bCs/>
          <w:sz w:val="18"/>
          <w:szCs w:val="18"/>
        </w:rPr>
        <w:t>由列联表中的数据可知，服用复方江剪刀草的患者的有效率为</w:t>
      </w:r>
      <w:r>
        <w:rPr>
          <w:bCs/>
          <w:position w:val="-24"/>
          <w:sz w:val="18"/>
          <w:szCs w:val="18"/>
        </w:rPr>
        <w:object>
          <v:shape id="_x0000_i1032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2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，服用胆黄片的患者的有效率为</w:t>
      </w:r>
      <w:r>
        <w:rPr>
          <w:bCs/>
          <w:position w:val="-24"/>
          <w:sz w:val="18"/>
          <w:szCs w:val="18"/>
        </w:rPr>
        <w:object>
          <v:shape id="_x0000_i1033" o:spt="75" type="#_x0000_t75" style="height:31pt;width:5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14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，可见，服用复方江剪刀草的患者与服用胆黄片的患者的有  效率存在较大差异．</w:t>
      </w:r>
      <w:r>
        <w:rPr>
          <w:rFonts w:hint="eastAsia"/>
          <w:sz w:val="18"/>
          <w:szCs w:val="18"/>
        </w:rPr>
        <w:t>下面用</w:t>
      </w:r>
      <w:r>
        <w:rPr>
          <w:position w:val="-10"/>
          <w:sz w:val="18"/>
          <w:szCs w:val="18"/>
        </w:rPr>
        <w:object>
          <v:shape id="_x0000_i1034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29" r:id="rId16">
            <o:LockedField>false</o:LockedField>
          </o:OLEObject>
        </w:object>
      </w:r>
      <w:r>
        <w:rPr>
          <w:rFonts w:hint="eastAsia"/>
          <w:sz w:val="18"/>
          <w:szCs w:val="18"/>
        </w:rPr>
        <w:t>进行独立性检验，以确定能有多大把握作出这一推断．</w:t>
      </w:r>
    </w:p>
    <w:p>
      <w:pPr>
        <w:ind w:left="420" w:leftChars="200"/>
        <w:rPr>
          <w:rFonts w:hint="eastAsia"/>
          <w:bCs/>
          <w:sz w:val="18"/>
          <w:szCs w:val="18"/>
        </w:rPr>
      </w:pPr>
      <w:r>
        <w:rPr>
          <w:rFonts w:hint="eastAsia"/>
          <w:sz w:val="18"/>
          <w:szCs w:val="18"/>
        </w:rPr>
        <w:t>解：提出假设</w:t>
      </w:r>
      <w:r>
        <w:rPr>
          <w:bCs/>
          <w:position w:val="-12"/>
          <w:sz w:val="18"/>
          <w:szCs w:val="18"/>
        </w:rPr>
        <w:object>
          <v:shape id="_x0000_i1035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18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：两种中草药的治疗效果没有差异，即病人使用这两种药物中的何种药物对疗效没有明显差异．</w:t>
      </w:r>
    </w:p>
    <w:p>
      <w:pPr>
        <w:ind w:firstLine="360" w:firstLineChars="200"/>
        <w:rPr>
          <w:rFonts w:hint="eastAsia"/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 xml:space="preserve">由列联表中的数据，求得     </w:t>
      </w:r>
      <w:r>
        <w:rPr>
          <w:position w:val="-24"/>
          <w:sz w:val="18"/>
          <w:szCs w:val="18"/>
        </w:rPr>
        <w:object>
          <v:shape id="_x0000_i1036" o:spt="75" type="#_x0000_t75" style="height:33pt;width:188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20">
            <o:LockedField>false</o:LockedField>
          </o:OLEObject>
        </w:object>
      </w:r>
    </w:p>
    <w:p>
      <w:pPr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当</w:t>
      </w:r>
      <w:r>
        <w:rPr>
          <w:bCs/>
          <w:position w:val="-12"/>
          <w:sz w:val="18"/>
          <w:szCs w:val="18"/>
        </w:rPr>
        <w:object>
          <v:shape id="_x0000_i1037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2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成立时，</w:t>
      </w:r>
      <w:r>
        <w:rPr>
          <w:bCs/>
          <w:position w:val="-10"/>
          <w:sz w:val="18"/>
          <w:szCs w:val="18"/>
        </w:rPr>
        <w:object>
          <v:shape id="_x0000_i1038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3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的概率约为</w:t>
      </w:r>
      <w:r>
        <w:rPr>
          <w:bCs/>
          <w:position w:val="-6"/>
          <w:sz w:val="18"/>
          <w:szCs w:val="18"/>
        </w:rPr>
        <w:object>
          <v:shape id="_x0000_i1039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25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，而这里</w:t>
      </w:r>
      <w:r>
        <w:rPr>
          <w:bCs/>
          <w:position w:val="-10"/>
          <w:sz w:val="18"/>
          <w:szCs w:val="18"/>
        </w:rPr>
        <w:object>
          <v:shape id="_x0000_i1040" o:spt="75" type="#_x0000_t75" style="height:18pt;width:103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27">
            <o:LockedField>false</o:LockedField>
          </o:OLEObject>
        </w:object>
      </w:r>
    </w:p>
    <w:p>
      <w:pPr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所以我们有</w:t>
      </w:r>
      <w:r>
        <w:rPr>
          <w:position w:val="-6"/>
          <w:sz w:val="18"/>
          <w:szCs w:val="18"/>
        </w:rPr>
        <w:object>
          <v:shape id="_x0000_i1041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29">
            <o:LockedField>false</o:LockedField>
          </o:OLEObject>
        </w:object>
      </w:r>
      <w:r>
        <w:rPr>
          <w:rFonts w:hint="eastAsia"/>
          <w:sz w:val="18"/>
          <w:szCs w:val="18"/>
        </w:rPr>
        <w:t>的把握认为：两种药物的疗效有差异．</w:t>
      </w:r>
    </w:p>
    <w:p>
      <w:pPr>
        <w:rPr>
          <w:rFonts w:hint="eastAsia"/>
          <w:sz w:val="18"/>
          <w:szCs w:val="18"/>
        </w:rPr>
      </w:pPr>
    </w:p>
    <w:p>
      <w:pPr>
        <w:ind w:left="420" w:left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例3．下表中给出了某周内中学生是否喝过酒的随机调查结果，若要使结论的可靠性不低于95%，根据所调查的数据，能否作出该周内中学生是否喝过酒与性别有关的结论？</w:t>
      </w:r>
    </w:p>
    <w:tbl>
      <w:tblPr>
        <w:tblStyle w:val="13"/>
        <w:tblpPr w:leftFromText="180" w:rightFromText="180" w:vertAnchor="text" w:horzAnchor="page" w:tblpX="1567" w:tblpY="79"/>
        <w:tblW w:w="6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757"/>
        <w:gridCol w:w="1757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734" w:type="dxa"/>
            <w:tcBorders>
              <w:bottom w:val="single" w:color="auto" w:sz="4" w:space="0"/>
            </w:tcBorders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喝过酒</w:t>
            </w:r>
          </w:p>
        </w:tc>
        <w:tc>
          <w:tcPr>
            <w:tcW w:w="1757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没喝过酒</w:t>
            </w:r>
          </w:p>
        </w:tc>
        <w:tc>
          <w:tcPr>
            <w:tcW w:w="1688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734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男生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404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734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女生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122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734" w:type="dxa"/>
            <w:shd w:val="clear" w:color="auto" w:fill="CCCCCC"/>
            <w:vAlign w:val="top"/>
          </w:tcPr>
          <w:p>
            <w:pPr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合计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526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619</w:t>
            </w:r>
          </w:p>
        </w:tc>
      </w:tr>
    </w:tbl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ind w:firstLine="360" w:firstLineChars="200"/>
        <w:rPr>
          <w:rFonts w:hint="eastAsia"/>
          <w:bCs/>
          <w:sz w:val="18"/>
          <w:szCs w:val="18"/>
        </w:rPr>
      </w:pPr>
      <w:r>
        <w:rPr>
          <w:rFonts w:hint="eastAsia"/>
          <w:sz w:val="18"/>
          <w:szCs w:val="18"/>
        </w:rPr>
        <w:t>解：提出假设</w:t>
      </w:r>
      <w:r>
        <w:rPr>
          <w:bCs/>
          <w:position w:val="-12"/>
          <w:sz w:val="18"/>
          <w:szCs w:val="18"/>
        </w:rPr>
        <w:object>
          <v:shape id="_x0000_i1042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7" r:id="rId31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：</w:t>
      </w:r>
      <w:r>
        <w:rPr>
          <w:rFonts w:hint="eastAsia"/>
          <w:sz w:val="18"/>
          <w:szCs w:val="18"/>
        </w:rPr>
        <w:t>该周内中学生是否喝过酒与性别无关</w:t>
      </w:r>
      <w:r>
        <w:rPr>
          <w:rFonts w:hint="eastAsia"/>
          <w:bCs/>
          <w:sz w:val="18"/>
          <w:szCs w:val="18"/>
        </w:rPr>
        <w:t>．</w:t>
      </w:r>
    </w:p>
    <w:p>
      <w:pPr>
        <w:ind w:firstLine="360" w:firstLineChars="200"/>
        <w:rPr>
          <w:rFonts w:hint="eastAsia"/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 xml:space="preserve">由列联表中的数据，求得     </w:t>
      </w:r>
      <w:r>
        <w:rPr>
          <w:position w:val="-10"/>
          <w:sz w:val="18"/>
          <w:szCs w:val="18"/>
        </w:rPr>
        <w:object>
          <v:shape id="_x0000_i1043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32">
            <o:LockedField>false</o:LockedField>
          </o:OLEObject>
        </w:object>
      </w:r>
      <w:r>
        <w:rPr>
          <w:rFonts w:hint="eastAsia"/>
          <w:sz w:val="18"/>
          <w:szCs w:val="18"/>
        </w:rPr>
        <w:t>，</w:t>
      </w:r>
    </w:p>
    <w:p>
      <w:pPr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当</w:t>
      </w:r>
      <w:r>
        <w:rPr>
          <w:bCs/>
          <w:position w:val="-12"/>
          <w:sz w:val="18"/>
          <w:szCs w:val="18"/>
        </w:rPr>
        <w:object>
          <v:shape id="_x0000_i1044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34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成立时，</w:t>
      </w:r>
      <w:r>
        <w:rPr>
          <w:bCs/>
          <w:position w:val="-10"/>
          <w:sz w:val="18"/>
          <w:szCs w:val="18"/>
        </w:rPr>
        <w:object>
          <v:shape id="_x0000_i1045" o:spt="75" type="#_x0000_t75" style="height:18pt;width:5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5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的概率约为</w:t>
      </w:r>
      <w:r>
        <w:rPr>
          <w:bCs/>
          <w:position w:val="-6"/>
          <w:sz w:val="18"/>
          <w:szCs w:val="18"/>
        </w:rPr>
        <w:object>
          <v:shape id="_x0000_i1046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37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，而这里</w:t>
      </w:r>
      <w:r>
        <w:rPr>
          <w:bCs/>
          <w:position w:val="-10"/>
          <w:sz w:val="18"/>
          <w:szCs w:val="18"/>
        </w:rPr>
        <w:object>
          <v:shape id="_x0000_i1047" o:spt="75" type="#_x0000_t75" style="height:18pt;width:98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39">
            <o:LockedField>false</o:LockedField>
          </o:OLEObject>
        </w:object>
      </w:r>
      <w:r>
        <w:rPr>
          <w:rFonts w:hint="eastAsia"/>
          <w:bCs/>
          <w:sz w:val="18"/>
          <w:szCs w:val="18"/>
        </w:rPr>
        <w:t>，</w:t>
      </w:r>
    </w:p>
    <w:p>
      <w:pPr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所以，不能推断出喝酒与性别有关的结论．</w:t>
      </w:r>
    </w:p>
    <w:p>
      <w:pPr>
        <w:tabs>
          <w:tab w:val="left" w:pos="360"/>
          <w:tab w:val="left" w:pos="1260"/>
        </w:tabs>
        <w:jc w:val="center"/>
        <w:rPr>
          <w:rFonts w:hint="eastAsia" w:eastAsia="黑体"/>
          <w:sz w:val="18"/>
          <w:szCs w:val="18"/>
        </w:rPr>
      </w:pPr>
      <w:bookmarkStart w:id="0" w:name="_GoBack"/>
      <w:bookmarkEnd w:id="0"/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9551A99"/>
    <w:rsid w:val="3241107C"/>
    <w:rsid w:val="43FA1E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60" w:after="60" w:line="300" w:lineRule="exact"/>
      <w:jc w:val="center"/>
      <w:outlineLvl w:val="1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2016-08-30T09:32:19Z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