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定积分的简单应用公式-高中数学选修2-2第一章</w:t>
      </w:r>
    </w:p>
    <w:p>
      <w:pPr>
        <w:adjustRightInd w:val="0"/>
        <w:snapToGrid w:val="0"/>
        <w:spacing w:before="156" w:beforeLines="50" w:after="156" w:afterLines="50" w:line="276" w:lineRule="auto"/>
        <w:rPr>
          <w:rFonts w:hint="eastAsia" w:ascii="宋体" w:hAnsi="宋体"/>
          <w:sz w:val="24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sz w:val="24"/>
          <w:szCs w:val="28"/>
        </w:rPr>
        <w:t>基本积分</w:t>
      </w:r>
      <w:r>
        <w:rPr>
          <w:rFonts w:hint="eastAsia" w:ascii="宋体" w:hAnsi="宋体"/>
          <w:b/>
          <w:sz w:val="24"/>
          <w:szCs w:val="28"/>
          <w:lang w:eastAsia="zh-CN"/>
        </w:rPr>
        <w:t>表</w:t>
      </w:r>
    </w:p>
    <w:p>
      <w:pPr>
        <w:spacing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（1）</w:t>
      </w:r>
      <w:r>
        <w:rPr>
          <w:position w:val="-16"/>
          <w:sz w:val="24"/>
        </w:rPr>
        <w:object>
          <v:shape id="_x0000_i1025" o:spt="75" type="#_x0000_t75" style="height:22pt;width:7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sz w:val="24"/>
        </w:rPr>
        <w:t xml:space="preserve">  （</w:t>
      </w:r>
      <w:r>
        <w:rPr>
          <w:sz w:val="24"/>
        </w:rPr>
        <w:t>k</w:t>
      </w:r>
      <w:r>
        <w:rPr>
          <w:rFonts w:hint="eastAsia"/>
          <w:sz w:val="24"/>
        </w:rPr>
        <w:t>是常数）</w:t>
      </w:r>
    </w:p>
    <w:p>
      <w:pPr>
        <w:spacing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（2）</w:t>
      </w:r>
      <w:r>
        <w:rPr>
          <w:position w:val="-28"/>
          <w:sz w:val="24"/>
        </w:rPr>
        <w:object>
          <v:shape id="_x0000_i1026" o:spt="75" type="#_x0000_t75" style="height:35pt;width:9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  <w:sz w:val="24"/>
        </w:rPr>
        <w:t xml:space="preserve"> </w:t>
      </w:r>
      <w:r>
        <w:rPr>
          <w:position w:val="-10"/>
          <w:sz w:val="24"/>
        </w:rPr>
        <w:object>
          <v:shape id="_x0000_i1027" o:spt="75" type="#_x0000_t75" style="height:16pt;width:42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</w:p>
    <w:p>
      <w:pPr>
        <w:spacing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（3）</w:t>
      </w:r>
      <w:r>
        <w:rPr>
          <w:position w:val="-24"/>
          <w:sz w:val="24"/>
        </w:rPr>
        <w:object>
          <v:shape id="_x0000_i1028" o:spt="75" type="#_x0000_t75" style="height:31pt;width:88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spacing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（4）</w:t>
      </w:r>
      <w:r>
        <w:rPr>
          <w:position w:val="-24"/>
          <w:sz w:val="24"/>
        </w:rPr>
        <w:object>
          <v:shape id="_x0000_i1029" o:spt="75" type="#_x0000_t75" style="height:31pt;width:109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</w:p>
    <w:p>
      <w:pPr>
        <w:spacing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（5）</w:t>
      </w:r>
      <w:r>
        <w:rPr>
          <w:position w:val="-30"/>
          <w:sz w:val="24"/>
        </w:rPr>
        <w:object>
          <v:shape id="_x0000_i1030" o:spt="75" type="#_x0000_t75" style="height:34pt;width:114.95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spacing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（6）</w:t>
      </w:r>
      <w:r>
        <w:rPr>
          <w:position w:val="-16"/>
          <w:sz w:val="24"/>
        </w:rPr>
        <w:object>
          <v:shape id="_x0000_i1031" o:spt="75" type="#_x0000_t75" style="height:22pt;width:106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</w:p>
    <w:p>
      <w:pPr>
        <w:spacing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（7）</w:t>
      </w:r>
      <w:r>
        <w:rPr>
          <w:position w:val="-16"/>
          <w:sz w:val="24"/>
        </w:rPr>
        <w:object>
          <v:shape id="_x0000_i1032" o:spt="75" type="#_x0000_t75" style="height:22pt;width:107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spacing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（8）</w:t>
      </w:r>
      <w:r>
        <w:rPr>
          <w:position w:val="-24"/>
          <w:sz w:val="24"/>
        </w:rPr>
        <w:object>
          <v:shape id="_x0000_i1033" o:spt="75" type="#_x0000_t75" style="height:31pt;width:106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</w:p>
    <w:p>
      <w:pPr>
        <w:spacing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（9）</w:t>
      </w:r>
      <w:r>
        <w:rPr>
          <w:position w:val="-24"/>
          <w:sz w:val="24"/>
        </w:rPr>
        <w:object>
          <v:shape id="_x0000_i1034" o:spt="75" type="#_x0000_t75" style="height:31pt;width:113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（10）</w:t>
      </w:r>
      <w:r>
        <w:rPr>
          <w:position w:val="-16"/>
          <w:sz w:val="24"/>
        </w:rPr>
        <w:object>
          <v:shape id="_x0000_i1035" o:spt="75" type="#_x0000_t75" style="height:22pt;width:123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</w:p>
    <w:p>
      <w:pPr>
        <w:spacing w:line="276" w:lineRule="auto"/>
        <w:rPr>
          <w:sz w:val="24"/>
        </w:rPr>
      </w:pPr>
      <w:r>
        <w:rPr>
          <w:rFonts w:hint="eastAsia" w:ascii="宋体" w:hAnsi="宋体"/>
          <w:sz w:val="24"/>
        </w:rPr>
        <w:t>（11）</w:t>
      </w:r>
      <w:r>
        <w:rPr>
          <w:position w:val="-16"/>
          <w:sz w:val="24"/>
        </w:rPr>
        <w:object>
          <v:shape id="_x0000_i1036" o:spt="75" type="#_x0000_t75" style="height:22pt;width:131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（12）</w:t>
      </w:r>
      <w:r>
        <w:rPr>
          <w:position w:val="-16"/>
          <w:sz w:val="24"/>
        </w:rPr>
        <w:object>
          <v:shape id="_x0000_i1037" o:spt="75" type="#_x0000_t75" style="height:22pt;width:78pt;" o:ole="t" filled="f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（13）</w:t>
      </w:r>
      <w:r>
        <w:rPr>
          <w:position w:val="-24"/>
          <w:sz w:val="24"/>
        </w:rPr>
        <w:object>
          <v:shape id="_x0000_i1038" o:spt="75" type="#_x0000_t75" style="height:33pt;width:84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10"/>
          <w:sz w:val="24"/>
        </w:rPr>
        <w:object>
          <v:shape id="_x0000_i1039" o:spt="75" type="#_x0000_t75" style="height:17pt;width:74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（14）</w:t>
      </w:r>
      <w:r>
        <w:rPr>
          <w:position w:val="-16"/>
          <w:sz w:val="24"/>
        </w:rPr>
        <w:object>
          <v:shape id="_x0000_i1040" o:spt="75" type="#_x0000_t75" style="height:22pt;width:85.95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（15）</w:t>
      </w:r>
      <w:r>
        <w:rPr>
          <w:position w:val="-16"/>
          <w:sz w:val="24"/>
        </w:rPr>
        <w:object>
          <v:shape id="_x0000_i1041" o:spt="75" type="#_x0000_t75" style="height:22pt;width:85.95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（16）</w:t>
      </w:r>
      <w:r>
        <w:rPr>
          <w:position w:val="-24"/>
          <w:sz w:val="24"/>
        </w:rPr>
        <w:object>
          <v:shape id="_x0000_i1042" o:spt="75" type="#_x0000_t75" style="height:31pt;width:143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（17）</w:t>
      </w:r>
      <w:r>
        <w:rPr>
          <w:position w:val="-24"/>
          <w:sz w:val="24"/>
        </w:rPr>
        <w:object>
          <v:shape id="_x0000_i1043" o:spt="75" type="#_x0000_t75" style="height:31pt;width:150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（18）</w:t>
      </w:r>
      <w:r>
        <w:rPr>
          <w:position w:val="-30"/>
          <w:sz w:val="24"/>
        </w:rPr>
        <w:object>
          <v:shape id="_x0000_i1044" o:spt="75" type="#_x0000_t75" style="height:34pt;width:139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（19）</w:t>
      </w:r>
      <w:r>
        <w:rPr>
          <w:position w:val="-30"/>
          <w:sz w:val="24"/>
        </w:rPr>
        <w:object>
          <v:shape id="_x0000_i1045" o:spt="75" type="#_x0000_t75" style="height:34pt;width:174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</w:p>
    <w:p>
      <w:pPr>
        <w:spacing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（20）</w:t>
      </w:r>
      <w:r>
        <w:rPr>
          <w:position w:val="-30"/>
          <w:sz w:val="24"/>
        </w:rPr>
        <w:object>
          <v:shape id="_x0000_i1046" o:spt="75" type="#_x0000_t75" style="height:34pt;width:164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</w:p>
    <w:p>
      <w:pPr>
        <w:adjustRightInd w:val="0"/>
        <w:snapToGrid w:val="0"/>
        <w:spacing w:before="156" w:beforeLines="50" w:after="156" w:afterLines="50" w:line="276" w:lineRule="auto"/>
        <w:rPr>
          <w:rFonts w:hint="eastAsia"/>
          <w:sz w:val="24"/>
        </w:rPr>
      </w:pPr>
      <w:r>
        <w:rPr>
          <w:rFonts w:hint="eastAsia" w:ascii="宋体"/>
          <w:sz w:val="24"/>
          <w:szCs w:val="28"/>
        </w:rPr>
        <w:t>（21）</w:t>
      </w:r>
      <w:r>
        <w:rPr>
          <w:position w:val="-16"/>
          <w:sz w:val="24"/>
        </w:rPr>
        <w:object>
          <v:shape id="_x0000_i1047" o:spt="75" type="#_x0000_t75" style="height:22pt;width:127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</w:p>
    <w:p>
      <w:pPr>
        <w:adjustRightInd w:val="0"/>
        <w:snapToGrid w:val="0"/>
        <w:spacing w:before="156" w:beforeLines="50" w:after="156" w:afterLines="50"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（22）</w:t>
      </w:r>
      <w:r>
        <w:rPr>
          <w:position w:val="-16"/>
          <w:sz w:val="24"/>
        </w:rPr>
        <w:object>
          <v:shape id="_x0000_i1048" o:spt="75" type="#_x0000_t75" style="height:22pt;width:117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</w:p>
    <w:p>
      <w:pPr>
        <w:adjustRightInd w:val="0"/>
        <w:snapToGrid w:val="0"/>
        <w:spacing w:before="156" w:beforeLines="50" w:after="156" w:afterLines="50" w:line="276" w:lineRule="auto"/>
        <w:rPr>
          <w:rFonts w:hint="eastAsia"/>
          <w:sz w:val="24"/>
        </w:rPr>
      </w:pPr>
      <w:r>
        <w:rPr>
          <w:rFonts w:hint="eastAsia"/>
          <w:sz w:val="24"/>
        </w:rPr>
        <w:t>（23）</w:t>
      </w:r>
      <w:r>
        <w:rPr>
          <w:position w:val="-16"/>
          <w:sz w:val="24"/>
        </w:rPr>
        <w:object>
          <v:shape id="_x0000_i1049" o:spt="75" type="#_x0000_t75" style="height:22pt;width:150.95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</w:p>
    <w:p>
      <w:pPr>
        <w:adjustRightInd w:val="0"/>
        <w:snapToGrid w:val="0"/>
        <w:spacing w:before="156" w:beforeLines="50" w:after="156" w:afterLines="50" w:line="276" w:lineRule="auto"/>
        <w:rPr>
          <w:rFonts w:hint="eastAsia"/>
          <w:sz w:val="24"/>
        </w:rPr>
      </w:pPr>
      <w:r>
        <w:rPr>
          <w:rFonts w:hint="eastAsia" w:ascii="宋体"/>
          <w:sz w:val="24"/>
          <w:szCs w:val="28"/>
        </w:rPr>
        <w:t>（24）</w:t>
      </w:r>
      <w:r>
        <w:rPr>
          <w:position w:val="-16"/>
          <w:sz w:val="24"/>
        </w:rPr>
        <w:object>
          <v:shape id="_x0000_i1050" o:spt="75" type="#_x0000_t75" style="height:22pt;width:150.9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</w:p>
    <w:p>
      <w:pPr>
        <w:adjustRightInd w:val="0"/>
        <w:snapToGrid w:val="0"/>
        <w:spacing w:before="156" w:beforeLines="50" w:after="156" w:afterLines="50" w:line="276" w:lineRule="auto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b/>
          <w:sz w:val="24"/>
          <w:szCs w:val="28"/>
        </w:rPr>
        <w:t>注：</w:t>
      </w:r>
      <w:r>
        <w:rPr>
          <w:rFonts w:hint="eastAsia" w:ascii="宋体" w:hAnsi="宋体"/>
          <w:sz w:val="24"/>
          <w:szCs w:val="28"/>
        </w:rPr>
        <w:t>1、从导数基本公式可得前15个积分公式，(16)-(24)式后几节证。</w:t>
      </w:r>
    </w:p>
    <w:p>
      <w:pPr>
        <w:adjustRightInd w:val="0"/>
        <w:snapToGrid w:val="0"/>
        <w:spacing w:before="156" w:beforeLines="50" w:after="156" w:afterLines="50" w:line="276" w:lineRule="auto"/>
        <w:rPr>
          <w:rFonts w:hint="eastAsia" w:ascii="宋体"/>
          <w:sz w:val="24"/>
          <w:szCs w:val="28"/>
        </w:rPr>
      </w:pPr>
      <w:r>
        <w:rPr>
          <w:rFonts w:hint="eastAsia" w:ascii="宋体"/>
          <w:sz w:val="24"/>
          <w:szCs w:val="28"/>
        </w:rPr>
        <w:t>2、以上公式把</w:t>
      </w:r>
      <w:r>
        <w:rPr>
          <w:rFonts w:ascii="宋体"/>
          <w:position w:val="-6"/>
          <w:sz w:val="24"/>
          <w:szCs w:val="28"/>
        </w:rPr>
        <w:object>
          <v:shape id="_x0000_i105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宋体"/>
          <w:sz w:val="24"/>
          <w:szCs w:val="28"/>
        </w:rPr>
        <w:t>换成</w:t>
      </w:r>
      <w:r>
        <w:rPr>
          <w:rFonts w:ascii="宋体"/>
          <w:position w:val="-6"/>
          <w:sz w:val="24"/>
          <w:szCs w:val="28"/>
        </w:rPr>
        <w:object>
          <v:shape id="_x0000_i105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宋体"/>
          <w:sz w:val="24"/>
          <w:szCs w:val="28"/>
        </w:rPr>
        <w:t>仍成立，</w:t>
      </w:r>
      <w:r>
        <w:rPr>
          <w:rFonts w:ascii="宋体"/>
          <w:position w:val="-6"/>
          <w:sz w:val="24"/>
          <w:szCs w:val="28"/>
        </w:rPr>
        <w:object>
          <v:shape id="_x0000_i105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宋体"/>
          <w:sz w:val="24"/>
          <w:szCs w:val="28"/>
        </w:rPr>
        <w:t>是以</w:t>
      </w:r>
      <w:r>
        <w:rPr>
          <w:rFonts w:ascii="宋体"/>
          <w:position w:val="-6"/>
          <w:sz w:val="24"/>
          <w:szCs w:val="28"/>
        </w:rPr>
        <w:object>
          <v:shape id="_x0000_i105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宋体"/>
          <w:sz w:val="24"/>
          <w:szCs w:val="28"/>
        </w:rPr>
        <w:t>为自变量的函数。</w:t>
      </w:r>
    </w:p>
    <w:p>
      <w:pPr>
        <w:adjustRightInd w:val="0"/>
        <w:snapToGrid w:val="0"/>
        <w:spacing w:before="156" w:beforeLines="50" w:after="156" w:afterLines="50" w:line="276" w:lineRule="auto"/>
        <w:rPr>
          <w:rFonts w:hint="eastAsia" w:ascii="宋体"/>
          <w:sz w:val="24"/>
          <w:szCs w:val="28"/>
        </w:rPr>
      </w:pPr>
    </w:p>
    <w:p>
      <w:pPr>
        <w:adjustRightInd w:val="0"/>
        <w:snapToGrid w:val="0"/>
        <w:spacing w:before="156" w:beforeLines="50" w:after="156" w:afterLines="50" w:line="276" w:lineRule="auto"/>
        <w:rPr>
          <w:rFonts w:hint="eastAsia" w:ascii="宋体"/>
          <w:sz w:val="24"/>
          <w:szCs w:val="28"/>
        </w:rPr>
      </w:pPr>
      <w:r>
        <w:rPr>
          <w:rFonts w:hint="eastAsia" w:ascii="宋体"/>
          <w:sz w:val="24"/>
          <w:szCs w:val="28"/>
        </w:rPr>
        <w:t>3、复习三角函数公式：</w:t>
      </w:r>
    </w:p>
    <w:p>
      <w:pPr>
        <w:adjustRightInd w:val="0"/>
        <w:snapToGrid w:val="0"/>
        <w:spacing w:before="156" w:beforeLines="50" w:after="156" w:afterLines="50" w:line="276" w:lineRule="auto"/>
        <w:rPr>
          <w:rFonts w:hint="eastAsia" w:ascii="宋体"/>
          <w:sz w:val="24"/>
          <w:szCs w:val="28"/>
        </w:rPr>
      </w:pPr>
      <w:r>
        <w:rPr>
          <w:rFonts w:ascii="宋体"/>
          <w:position w:val="-10"/>
          <w:sz w:val="24"/>
          <w:szCs w:val="28"/>
        </w:rPr>
        <w:object>
          <v:shape id="_x0000_i1055" o:spt="75" type="#_x0000_t75" style="height:18pt;width:274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ascii="宋体"/>
          <w:position w:val="-24"/>
          <w:sz w:val="24"/>
          <w:szCs w:val="28"/>
        </w:rPr>
        <w:object>
          <v:shape id="_x0000_i1056" o:spt="75" type="#_x0000_t75" style="height:31pt;width:91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 w:ascii="宋体"/>
          <w:sz w:val="24"/>
          <w:szCs w:val="28"/>
        </w:rPr>
        <w:t>，</w:t>
      </w:r>
    </w:p>
    <w:p>
      <w:pPr>
        <w:adjustRightInd w:val="0"/>
        <w:snapToGrid w:val="0"/>
        <w:spacing w:before="156" w:beforeLines="50" w:after="156" w:afterLines="50" w:line="276" w:lineRule="auto"/>
        <w:rPr>
          <w:rFonts w:hint="eastAsia"/>
          <w:b/>
          <w:sz w:val="24"/>
        </w:rPr>
      </w:pPr>
      <w:r>
        <w:rPr>
          <w:rFonts w:ascii="宋体"/>
          <w:position w:val="-24"/>
          <w:sz w:val="24"/>
          <w:szCs w:val="28"/>
        </w:rPr>
        <w:object>
          <v:shape id="_x0000_i1057" o:spt="75" type="#_x0000_t75" style="height:31pt;width:89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hint="eastAsia" w:ascii="宋体"/>
          <w:sz w:val="24"/>
          <w:szCs w:val="28"/>
        </w:rPr>
        <w:t>。</w:t>
      </w:r>
    </w:p>
    <w:p>
      <w:pPr>
        <w:spacing w:line="276" w:lineRule="auto"/>
        <w:rPr>
          <w:rFonts w:hint="eastAsia"/>
          <w:bCs/>
          <w:sz w:val="24"/>
        </w:rPr>
      </w:pPr>
      <w:r>
        <w:rPr>
          <w:rFonts w:hint="eastAsia"/>
          <w:b/>
          <w:bCs/>
          <w:sz w:val="24"/>
        </w:rPr>
        <w:t>注</w:t>
      </w:r>
      <w:r>
        <w:rPr>
          <w:rFonts w:hint="eastAsia"/>
          <w:bCs/>
          <w:sz w:val="24"/>
        </w:rPr>
        <w:t>：由</w:t>
      </w:r>
      <w:r>
        <w:rPr>
          <w:bCs/>
          <w:position w:val="-16"/>
          <w:sz w:val="24"/>
        </w:rPr>
        <w:object>
          <v:shape id="_x0000_i1058" o:spt="75" type="#_x0000_t75" style="height:22pt;width:171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2">
            <o:LockedField>false</o:LockedField>
          </o:OLEObject>
        </w:object>
      </w:r>
      <w:r>
        <w:rPr>
          <w:rFonts w:hint="eastAsia"/>
          <w:bCs/>
          <w:sz w:val="24"/>
        </w:rPr>
        <w:t>，此步为凑微分过程，所以第一类换元法也叫凑微分法。此方法是非常重要的一种积分法，要运用自如，务必熟记基本积分表，并掌握常见的凑微分形式及“凑”的技巧。</w: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1常用凑微分公式</w:t>
      </w:r>
    </w:p>
    <w:p>
      <w:pPr>
        <w:ind w:firstLine="1470" w:firstLineChars="700"/>
        <w:rPr>
          <w:rFonts w:hint="eastAsia"/>
        </w:rPr>
      </w:pPr>
      <w:r>
        <w:rPr>
          <w:position w:val="-48"/>
        </w:rPr>
        <w:object>
          <v:shape id="_x0000_i1059" o:spt="75" type="#_x0000_t75" style="height:314.85pt;width:340.05pt;" o:ole="t" filled="f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4">
            <o:LockedField>false</o:LockedField>
          </o:OLEObject>
        </w:objec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65B65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7" Type="http://schemas.openxmlformats.org/officeDocument/2006/relationships/fontTable" Target="fontTable.xml"/><Relationship Id="rId76" Type="http://schemas.openxmlformats.org/officeDocument/2006/relationships/customXml" Target="../customXml/item1.xml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theme" Target="theme/theme1.xml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oleObject" Target="embeddings/oleObject30.bin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2016-08-26T10:31:25Z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