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导数的计算公式-高中数学选修2-2第一章</w:t>
      </w:r>
    </w:p>
    <w:p>
      <w:pPr>
        <w:rPr>
          <w:rFonts w:hint="eastAsia"/>
        </w:rPr>
      </w:pPr>
      <w:r>
        <w:rPr>
          <w:rFonts w:hint="eastAsia"/>
        </w:rPr>
        <w:t>（一）基本初等函数</w:t>
      </w:r>
      <w:r>
        <w:t>的导数公式</w:t>
      </w:r>
      <w:r>
        <w:rPr>
          <w:rFonts w:hint="eastAsia"/>
        </w:rPr>
        <w:t>表</w:t>
      </w:r>
    </w:p>
    <w:p>
      <w:pPr>
        <w:rPr>
          <w:rFonts w:hint="eastAsia"/>
        </w:rPr>
      </w:pPr>
    </w:p>
    <w:tbl>
      <w:tblPr>
        <w:tblStyle w:val="13"/>
        <w:tblpPr w:leftFromText="180" w:rightFromText="180" w:vertAnchor="text" w:horzAnchor="page" w:tblpX="2602" w:tblpY="-60"/>
        <w:tblW w:w="65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4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376" w:type="dxa"/>
            <w:tcBorders>
              <w:bottom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函数</w:t>
            </w:r>
          </w:p>
        </w:tc>
        <w:tc>
          <w:tcPr>
            <w:tcW w:w="4156" w:type="dxa"/>
            <w:tcBorders>
              <w:bottom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76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position w:val="-10"/>
                <w:szCs w:val="21"/>
              </w:rPr>
              <w:object>
                <v:shape id="_x0000_i1039" o:spt="75" type="#_x0000_t75" style="height:13pt;width:28pt;" o:ole="t" filled="f" o:preferrelative="t" stroked="f" coordsize="21600,21600">
                  <v:path/>
                  <v:fill on="f" alignshape="1" focussize="0,0"/>
                  <v:stroke on="f"/>
                  <v:imagedata r:id="rId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25" r:id="rId8">
                  <o:LockedField>false</o:LockedField>
                </o:OLEObject>
              </w:object>
            </w:r>
          </w:p>
        </w:tc>
        <w:tc>
          <w:tcPr>
            <w:tcW w:w="4156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position w:val="-10"/>
                <w:szCs w:val="21"/>
              </w:rPr>
              <w:object>
                <v:shape id="_x0000_i1040" o:spt="75" type="#_x0000_t75" style="height:18pt;width:31pt;" o:ole="t" filled="f" o:preferrelative="t" stroked="f" coordsize="21600,21600">
                  <v:path/>
                  <v:fill on="f" alignshape="1" focussize="0,0"/>
                  <v:stroke on="f"/>
                  <v:imagedata r:id="rId11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26" r:id="rId1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376" w:type="dxa"/>
            <w:shd w:val="clear" w:color="auto" w:fill="E6E6E6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position w:val="-10"/>
                <w:szCs w:val="21"/>
              </w:rPr>
              <w:object>
                <v:shape id="_x0000_i1041" o:spt="75" type="#_x0000_t75" style="height:18pt;width:108pt;" o:ole="t" filled="f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27" r:id="rId12">
                  <o:LockedField>false</o:LockedField>
                </o:OLEObject>
              </w:object>
            </w:r>
          </w:p>
        </w:tc>
        <w:tc>
          <w:tcPr>
            <w:tcW w:w="4156" w:type="dxa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/>
                <w:position w:val="-10"/>
                <w:szCs w:val="21"/>
              </w:rPr>
              <w:object>
                <v:shape id="_x0000_i1042" o:spt="75" type="#_x0000_t75" style="height:18pt;width:48pt;" o:ole="t" filled="f" o:preferrelative="t" stroked="f" coordsize="21600,21600">
                  <v:path/>
                  <v:fill on="f" alignshape="1" focussize="0,0"/>
                  <v:stroke on="f"/>
                  <v:imagedata r:id="rId15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28" r:id="rId1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76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position w:val="-10"/>
                <w:szCs w:val="21"/>
              </w:rPr>
              <w:object>
                <v:shape id="_x0000_i1043" o:spt="75" type="#_x0000_t75" style="height:16pt;width:45pt;" o:ole="t" filled="f" o:preferrelative="t" stroked="f" coordsize="21600,21600">
                  <v:path/>
                  <v:fill on="f" alignshape="1" focussize="0,0"/>
                  <v:stroke on="f"/>
                  <v:imagedata r:id="rId1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29" r:id="rId16">
                  <o:LockedField>false</o:LockedField>
                </o:OLEObject>
              </w:object>
            </w:r>
          </w:p>
        </w:tc>
        <w:tc>
          <w:tcPr>
            <w:tcW w:w="4156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position w:val="-10"/>
                <w:szCs w:val="21"/>
              </w:rPr>
              <w:object>
                <v:shape id="_x0000_i1044" o:spt="75" type="#_x0000_t75" style="height:18pt;width:49pt;" o:ole="t" filled="f" o:preferrelative="t" stroked="f" coordsize="21600,21600">
                  <v:path/>
                  <v:fill on="f" alignshape="1" focussize="0,0"/>
                  <v:stroke on="f"/>
                  <v:imagedata r:id="rId1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30" r:id="rId1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376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position w:val="-10"/>
                <w:szCs w:val="21"/>
              </w:rPr>
              <w:object>
                <v:shape id="_x0000_i1045" o:spt="75" type="#_x0000_t75" style="height:13pt;width:46pt;" o:ole="t" filled="f" o:preferrelative="t" stroked="f" coordsize="21600,21600">
                  <v:path/>
                  <v:fill on="f" alignshape="1" focussize="0,0"/>
                  <v:stroke on="f"/>
                  <v:imagedata r:id="rId21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31" r:id="rId20">
                  <o:LockedField>false</o:LockedField>
                </o:OLEObject>
              </w:object>
            </w:r>
          </w:p>
        </w:tc>
        <w:tc>
          <w:tcPr>
            <w:tcW w:w="4156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position w:val="-10"/>
                <w:szCs w:val="21"/>
              </w:rPr>
              <w:object>
                <v:shape id="_x0000_i1046" o:spt="75" type="#_x0000_t75" style="height:18pt;width:55pt;" o:ole="t" filled="f" o:preferrelative="t" stroked="f" coordsize="21600,21600">
                  <v:path/>
                  <v:fill on="f" alignshape="1" focussize="0,0"/>
                  <v:stroke on="f"/>
                  <v:imagedata r:id="rId23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32" r:id="rId2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376" w:type="dxa"/>
            <w:shd w:val="clear" w:color="auto" w:fill="E6E6E6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position w:val="-10"/>
                <w:szCs w:val="21"/>
              </w:rPr>
              <w:object>
                <v:shape id="_x0000_i1047" o:spt="75" type="#_x0000_t75" style="height:18pt;width:67.95pt;" o:ole="t" filled="f" o:preferrelative="t" stroked="f" coordsize="21600,21600">
                  <v:path/>
                  <v:fill on="f" alignshape="1" focussize="0,0"/>
                  <v:stroke on="f"/>
                  <v:imagedata r:id="rId25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33" r:id="rId24">
                  <o:LockedField>false</o:LockedField>
                </o:OLEObject>
              </w:object>
            </w:r>
          </w:p>
        </w:tc>
        <w:tc>
          <w:tcPr>
            <w:tcW w:w="4156" w:type="dxa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/>
                <w:position w:val="-10"/>
                <w:szCs w:val="21"/>
              </w:rPr>
              <w:object>
                <v:shape id="_x0000_i1048" o:spt="75" type="#_x0000_t75" style="height:18pt;width:95pt;" o:ole="t" filled="f" o:preferrelative="t" stroked="f" coordsize="21600,21600">
                  <v:path/>
                  <v:fill on="f" alignshape="1" focussize="0,0"/>
                  <v:stroke on="f"/>
                  <v:imagedata r:id="rId2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34" r:id="rId2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376" w:type="dxa"/>
            <w:shd w:val="clear" w:color="auto" w:fill="E6E6E6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position w:val="-10"/>
                <w:szCs w:val="21"/>
              </w:rPr>
              <w:object>
                <v:shape id="_x0000_i1049" o:spt="75" type="#_x0000_t75" style="height:18pt;width:67pt;" o:ole="t" filled="f" o:preferrelative="t" stroked="f" coordsize="21600,21600">
                  <v:path/>
                  <v:fill on="f" alignshape="1" focussize="0,0"/>
                  <v:stroke on="f"/>
                  <v:imagedata r:id="rId2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35" r:id="rId28">
                  <o:LockedField>false</o:LockedField>
                </o:OLEObject>
              </w:object>
            </w:r>
          </w:p>
        </w:tc>
        <w:tc>
          <w:tcPr>
            <w:tcW w:w="4156" w:type="dxa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/>
                <w:position w:val="-10"/>
                <w:szCs w:val="21"/>
              </w:rPr>
              <w:object>
                <v:shape id="_x0000_i1050" o:spt="75" type="#_x0000_t75" style="height:18pt;width:35pt;" o:ole="t" filled="f" o:preferrelative="t" stroked="f" coordsize="21600,21600">
                  <v:path/>
                  <v:fill on="f" alignshape="1" focussize="0,0"/>
                  <v:stroke on="f"/>
                  <v:imagedata r:id="rId31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36" r:id="rId3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376" w:type="dxa"/>
            <w:shd w:val="clear" w:color="auto" w:fill="E6E6E6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position w:val="-12"/>
                <w:szCs w:val="21"/>
              </w:rPr>
              <w:object>
                <v:shape id="_x0000_i1051" o:spt="75" type="#_x0000_t75" style="height:18pt;width:67pt;" o:ole="t" filled="f" stroked="f" coordsize="21600,21600">
                  <v:path/>
                  <v:fill on="f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37" r:id="rId32">
                  <o:LockedField>false</o:LockedField>
                </o:OLEObject>
              </w:object>
            </w:r>
          </w:p>
        </w:tc>
        <w:tc>
          <w:tcPr>
            <w:tcW w:w="4156" w:type="dxa"/>
            <w:shd w:val="clear" w:color="auto" w:fill="E6E6E6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position w:val="-24"/>
                <w:szCs w:val="21"/>
              </w:rPr>
              <w:object>
                <v:shape id="_x0000_i1052" o:spt="75" type="#_x0000_t75" style="height:31pt;width:197pt;" o:ole="t" filled="f" stroked="f" coordsize="21600,21600">
                  <v:path/>
                  <v:fill on="f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38" r:id="rId3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376" w:type="dxa"/>
            <w:shd w:val="clear" w:color="auto" w:fill="E6E6E6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position w:val="-10"/>
                <w:szCs w:val="21"/>
              </w:rPr>
              <w:object>
                <v:shape id="_x0000_i1053" o:spt="75" type="#_x0000_t75" style="height:16pt;width:56pt;" o:ole="t" filled="f" stroked="f" coordsize="21600,21600">
                  <v:path/>
                  <v:fill on="f" focussize="0,0"/>
                  <v:stroke on="f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39" r:id="rId36">
                  <o:LockedField>false</o:LockedField>
                </o:OLEObject>
              </w:object>
            </w:r>
          </w:p>
        </w:tc>
        <w:tc>
          <w:tcPr>
            <w:tcW w:w="4156" w:type="dxa"/>
            <w:shd w:val="clear" w:color="auto" w:fill="E6E6E6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position w:val="-24"/>
                <w:szCs w:val="21"/>
              </w:rPr>
              <w:object>
                <v:shape id="_x0000_i1054" o:spt="75" type="#_x0000_t75" style="height:31pt;width:51pt;" o:ole="t" filled="f" stroked="f" coordsize="21600,21600">
                  <v:path/>
                  <v:fill on="f" focussize="0,0"/>
                  <v:stroke on="f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40" r:id="rId38">
                  <o:LockedField>false</o:LockedField>
                </o:OLEObject>
              </w:objec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（二）导数的运算法则</w:t>
      </w:r>
    </w:p>
    <w:tbl>
      <w:tblPr>
        <w:tblStyle w:val="13"/>
        <w:tblW w:w="5587" w:type="dxa"/>
        <w:tblInd w:w="1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CCCCC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CCCCC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5587" w:type="dxa"/>
            <w:tcBorders>
              <w:bottom w:val="single" w:color="auto" w:sz="4" w:space="0"/>
            </w:tcBorders>
            <w:shd w:val="clear" w:color="auto" w:fill="CCCCCC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导数运算法则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CCCCC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5587" w:type="dxa"/>
            <w:shd w:val="clear" w:color="auto" w:fill="E6E6E6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1．</w:t>
            </w:r>
            <w:r>
              <w:rPr>
                <w:position w:val="-14"/>
              </w:rPr>
              <w:object>
                <v:shape id="_x0000_i1055" o:spt="75" type="#_x0000_t75" style="height:22pt;width:143pt;" o:ole="t" filled="f" stroked="f" coordsize="21600,21600">
                  <v:path/>
                  <v:fill on="f" focussize="0,0"/>
                  <v:stroke on="f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41" r:id="rId40">
                  <o:LockedField>false</o:LockedField>
                </o:OLEObject>
              </w:objec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2．</w:t>
            </w:r>
            <w:r>
              <w:rPr>
                <w:position w:val="-14"/>
              </w:rPr>
              <w:object>
                <v:shape id="_x0000_i1056" o:spt="75" type="#_x0000_t75" style="height:22pt;width:184pt;" o:ole="t" filled="f" stroked="f" coordsize="21600,21600">
                  <v:path/>
                  <v:fill on="f" focussize="0,0"/>
                  <v:stroke on="f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42" r:id="rId42">
                  <o:LockedField>false</o:LockedField>
                </o:OLEObject>
              </w:objec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3．</w:t>
            </w:r>
            <w:r>
              <w:rPr>
                <w:position w:val="-36"/>
              </w:rPr>
              <w:object>
                <v:shape id="_x0000_i1057" o:spt="75" type="#_x0000_t75" style="height:42pt;width:213pt;" o:ole="t" filled="f" stroked="f" coordsize="21600,21600">
                  <v:path/>
                  <v:fill on="f" focussize="0,0"/>
                  <v:stroke on="f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43" r:id="rId44">
                  <o:LockedField>false</o:LockedField>
                </o:OLEObject>
              </w:objec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（2）推论：</w:t>
      </w:r>
      <w:r>
        <w:rPr>
          <w:position w:val="-14"/>
        </w:rPr>
        <w:object>
          <v:shape id="_x0000_i1058" o:spt="75" type="#_x0000_t75" style="height:22pt;width:80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58" DrawAspect="Content" ObjectID="_1468075744" r:id="rId46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 xml:space="preserve">          （常数与函数的积的导数，等于常数乘函数的导数）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eastAsia="zh-CN"/>
        </w:rPr>
        <w:t>（三）</w:t>
      </w:r>
      <w:r>
        <w:rPr>
          <w:rFonts w:hint="eastAsia"/>
        </w:rPr>
        <w:t>典例分析</w:t>
      </w:r>
    </w:p>
    <w:p>
      <w:pPr>
        <w:rPr>
          <w:rFonts w:hint="eastAsia"/>
        </w:rPr>
      </w:pPr>
      <w:r>
        <w:rPr>
          <w:rFonts w:hint="eastAsia"/>
        </w:rPr>
        <w:t>例1．假设某国家在20年期间的年均通货膨胀率为</w:t>
      </w:r>
      <w:r>
        <w:rPr>
          <w:position w:val="-6"/>
        </w:rPr>
        <w:object>
          <v:shape id="_x0000_i1059" o:spt="75" type="#_x0000_t75" style="height:13.95pt;width:19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59" DrawAspect="Content" ObjectID="_1468075745" r:id="rId48">
            <o:LockedField>false</o:LockedField>
          </o:OLEObject>
        </w:object>
      </w:r>
      <w:r>
        <w:rPr>
          <w:rFonts w:hint="eastAsia"/>
        </w:rPr>
        <w:t>，物价</w:t>
      </w:r>
      <w:r>
        <w:rPr>
          <w:position w:val="-10"/>
        </w:rPr>
        <w:object>
          <v:shape id="_x0000_i1060" o:spt="75" type="#_x0000_t75" style="height:13pt;width:12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60" DrawAspect="Content" ObjectID="_1468075746" r:id="rId50">
            <o:LockedField>false</o:LockedField>
          </o:OLEObject>
        </w:object>
      </w:r>
      <w:r>
        <w:rPr>
          <w:rFonts w:hint="eastAsia"/>
        </w:rPr>
        <w:t>（单位：元）与时间</w:t>
      </w:r>
      <w:r>
        <w:rPr>
          <w:position w:val="-6"/>
        </w:rPr>
        <w:object>
          <v:shape id="_x0000_i1061" o:spt="75" type="#_x0000_t75" style="height:12pt;width:6.95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61" DrawAspect="Content" ObjectID="_1468075747" r:id="rId52">
            <o:LockedField>false</o:LockedField>
          </o:OLEObject>
        </w:object>
      </w:r>
      <w:r>
        <w:rPr>
          <w:rFonts w:hint="eastAsia"/>
        </w:rPr>
        <w:t>（单位：年）有如下函数关系</w:t>
      </w:r>
      <w:r>
        <w:rPr>
          <w:position w:val="-12"/>
        </w:rPr>
        <w:object>
          <v:shape id="_x0000_i1062" o:spt="75" type="#_x0000_t75" style="height:19pt;width:89pt;" o:ole="t" filled="f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62" DrawAspect="Content" ObjectID="_1468075748" r:id="rId54">
            <o:LockedField>false</o:LockedField>
          </o:OLEObject>
        </w:object>
      </w:r>
      <w:r>
        <w:rPr>
          <w:rFonts w:hint="eastAsia"/>
        </w:rPr>
        <w:t>，其中</w:t>
      </w:r>
      <w:r>
        <w:rPr>
          <w:position w:val="-12"/>
        </w:rPr>
        <w:object>
          <v:shape id="_x0000_i1063" o:spt="75" type="#_x0000_t75" style="height:18pt;width:15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63" DrawAspect="Content" ObjectID="_1468075749" r:id="rId56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6"/>
        </w:rPr>
        <w:object>
          <v:shape id="_x0000_i1064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50" r:id="rId58">
            <o:LockedField>false</o:LockedField>
          </o:OLEObject>
        </w:object>
      </w:r>
      <w:r>
        <w:rPr>
          <w:rFonts w:hint="eastAsia"/>
        </w:rPr>
        <w:t>时的物价．假定某种商品的</w:t>
      </w:r>
      <w:r>
        <w:rPr>
          <w:position w:val="-12"/>
        </w:rPr>
        <w:object>
          <v:shape id="_x0000_i1065" o:spt="75" type="#_x0000_t75" style="height:18pt;width:31.95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65" DrawAspect="Content" ObjectID="_1468075751" r:id="rId60">
            <o:LockedField>false</o:LockedField>
          </o:OLEObject>
        </w:object>
      </w:r>
      <w:r>
        <w:rPr>
          <w:rFonts w:hint="eastAsia"/>
        </w:rPr>
        <w:t>，那么在第10个年头，这种商品的价格上涨的速度大约是多少（精确到0.01）？</w:t>
      </w:r>
    </w:p>
    <w:p>
      <w:pPr>
        <w:rPr>
          <w:rFonts w:hint="eastAsia"/>
        </w:rPr>
      </w:pPr>
      <w:r>
        <w:rPr>
          <w:rFonts w:hint="eastAsia"/>
        </w:rPr>
        <w:t>解：根据基本初等函数导数公式表，有</w:t>
      </w:r>
      <w:r>
        <w:rPr>
          <w:position w:val="-10"/>
        </w:rPr>
        <w:object>
          <v:shape id="_x0000_i1066" o:spt="75" type="#_x0000_t75" style="height:18pt;width:94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52" r:id="rId62">
            <o:LockedField>false</o:LockedField>
          </o:OLEObject>
        </w:objec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所以</w:t>
      </w:r>
      <w:r>
        <w:rPr>
          <w:position w:val="-10"/>
        </w:rPr>
        <w:object>
          <v:shape id="_x0000_i1067" o:spt="75" type="#_x0000_t75" style="height:18pt;width:137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53" r:id="rId64">
            <o:LockedField>false</o:LockedField>
          </o:OLEObject>
        </w:object>
      </w:r>
      <w:r>
        <w:rPr>
          <w:rFonts w:hint="eastAsia"/>
        </w:rPr>
        <w:t>（元/年）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因此，在第10个年头，这种商品的价格约为0.08元/年的速度上涨．</w:t>
      </w:r>
    </w:p>
    <w:p>
      <w:pPr>
        <w:rPr>
          <w:rFonts w:hint="eastAsia"/>
        </w:rPr>
      </w:pPr>
      <w:r>
        <w:rPr>
          <w:rFonts w:hint="eastAsia"/>
        </w:rPr>
        <w:t>例2．根据基本初等函数的导数公式和导数运算法则，求下列函数的导数．</w:t>
      </w:r>
    </w:p>
    <w:p>
      <w:pPr>
        <w:rPr>
          <w:rFonts w:hint="eastAsia"/>
        </w:rPr>
      </w:pPr>
      <w:r>
        <w:rPr>
          <w:rFonts w:hint="eastAsia"/>
        </w:rPr>
        <w:t>（1）</w:t>
      </w:r>
      <w:r>
        <w:rPr>
          <w:position w:val="-10"/>
        </w:rPr>
        <w:object>
          <v:shape id="_x0000_i1068" o:spt="75" type="#_x0000_t75" style="height:18pt;width:72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68" DrawAspect="Content" ObjectID="_1468075754" r:id="rId66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（2）</w:t>
      </w:r>
      <w:r>
        <w:rPr>
          <w:i/>
          <w:iCs/>
        </w:rPr>
        <w:t>y</w:t>
      </w:r>
      <w:r>
        <w:t xml:space="preserve"> </w:t>
      </w:r>
      <w:r>
        <w:rPr>
          <w:rFonts w:hint="eastAsia"/>
        </w:rPr>
        <w:t>＝</w:t>
      </w:r>
      <w:r>
        <w:rPr>
          <w:position w:val="-28"/>
        </w:rPr>
        <w:object>
          <v:shape id="_x0000_i1069" o:spt="75" type="#_x0000_t75" style="height:33pt;width:78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69" DrawAspect="Content" ObjectID="_1468075755" r:id="rId68">
            <o:LockedField>false</o:LockedField>
          </o:OLEObject>
        </w:object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>（3）</w:t>
      </w:r>
      <w:r>
        <w:rPr>
          <w:i/>
          <w:iCs/>
        </w:rPr>
        <w:t>y</w:t>
      </w:r>
      <w:r>
        <w:t xml:space="preserve"> </w:t>
      </w:r>
      <w:r>
        <w:rPr>
          <w:rFonts w:hint="eastAsia"/>
        </w:rPr>
        <w:t>＝</w:t>
      </w:r>
      <w:r>
        <w:rPr>
          <w:i/>
          <w:iCs/>
        </w:rPr>
        <w:t>x</w:t>
      </w:r>
      <w:r>
        <w:t xml:space="preserve"> · sin </w:t>
      </w:r>
      <w:r>
        <w:rPr>
          <w:i/>
          <w:iCs/>
        </w:rPr>
        <w:t>x</w:t>
      </w:r>
      <w:r>
        <w:t xml:space="preserve"> · ln </w:t>
      </w:r>
      <w:r>
        <w:rPr>
          <w:i/>
          <w:iCs/>
        </w:rPr>
        <w:t>x</w:t>
      </w:r>
      <w:r>
        <w:rPr>
          <w:rFonts w:hint="eastAsia"/>
        </w:rPr>
        <w:t>；</w:t>
      </w:r>
    </w:p>
    <w:p>
      <w:r>
        <w:rPr>
          <w:rFonts w:hint="eastAsia"/>
        </w:rPr>
        <w:t>（4）</w:t>
      </w:r>
      <w:r>
        <w:rPr>
          <w:i/>
          <w:iCs/>
        </w:rPr>
        <w:t>y</w:t>
      </w:r>
      <w:r>
        <w:t xml:space="preserve"> </w:t>
      </w:r>
      <w:r>
        <w:rPr>
          <w:rFonts w:hint="eastAsia"/>
        </w:rPr>
        <w:t>＝</w:t>
      </w:r>
      <w:r>
        <w:rPr>
          <w:position w:val="-24"/>
        </w:rPr>
        <w:object>
          <v:shape id="_x0000_i1070" o:spt="75" type="#_x0000_t75" style="height:31pt;width:17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70" DrawAspect="Content" ObjectID="_1468075756" r:id="rId70">
            <o:LockedField>false</o:LockedField>
          </o:OLEObject>
        </w:object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>（5）</w:t>
      </w:r>
      <w:r>
        <w:rPr>
          <w:i/>
          <w:iCs/>
        </w:rPr>
        <w:t>y</w:t>
      </w:r>
      <w:r>
        <w:t xml:space="preserve"> </w:t>
      </w:r>
      <w:r>
        <w:rPr>
          <w:rFonts w:hint="eastAsia"/>
        </w:rPr>
        <w:t>＝</w:t>
      </w:r>
      <w:r>
        <w:rPr>
          <w:position w:val="-24"/>
        </w:rPr>
        <w:object>
          <v:shape id="_x0000_i1071" o:spt="75" type="#_x0000_t75" style="height:31pt;width:37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071" DrawAspect="Content" ObjectID="_1468075757" r:id="rId72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（6）</w:t>
      </w:r>
      <w:r>
        <w:rPr>
          <w:i/>
          <w:iCs/>
        </w:rPr>
        <w:t>y</w:t>
      </w:r>
      <w:r>
        <w:t xml:space="preserve"> </w:t>
      </w:r>
      <w:r>
        <w:rPr>
          <w:rFonts w:hint="eastAsia"/>
        </w:rPr>
        <w:t>＝（</w:t>
      </w:r>
      <w:r>
        <w:t xml:space="preserve">2 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 xml:space="preserve">5 </w:t>
      </w:r>
      <w:r>
        <w:rPr>
          <w:i/>
          <w:iCs/>
        </w:rPr>
        <w:t>x</w:t>
      </w:r>
      <w:r>
        <w:t xml:space="preserve"> </w:t>
      </w:r>
      <w:r>
        <w:rPr>
          <w:rFonts w:hint="eastAsia"/>
        </w:rPr>
        <w:t>＋</w:t>
      </w:r>
      <w:r>
        <w:t>1</w:t>
      </w:r>
      <w:r>
        <w:rPr>
          <w:rFonts w:hint="eastAsia"/>
        </w:rPr>
        <w:t>）</w:t>
      </w:r>
      <w:r>
        <w:rPr>
          <w:i/>
          <w:iCs/>
        </w:rPr>
        <w:t>e</w:t>
      </w:r>
      <w:r>
        <w:rPr>
          <w:i/>
          <w:iCs/>
          <w:vertAlign w:val="superscript"/>
        </w:rPr>
        <w:t>x</w:t>
      </w:r>
    </w:p>
    <w:p>
      <w:r>
        <w:rPr>
          <w:rFonts w:hint="eastAsia"/>
        </w:rPr>
        <w:t>（7）</w:t>
      </w:r>
      <w:r>
        <w:t xml:space="preserve"> </w:t>
      </w:r>
      <w:r>
        <w:rPr>
          <w:i/>
          <w:iCs/>
        </w:rPr>
        <w:t>y</w:t>
      </w:r>
      <w:r>
        <w:t xml:space="preserve"> </w:t>
      </w:r>
      <w:r>
        <w:rPr>
          <w:rFonts w:hint="eastAsia"/>
        </w:rPr>
        <w:t>＝</w:t>
      </w:r>
      <w:r>
        <w:rPr>
          <w:position w:val="-24"/>
        </w:rPr>
        <w:object>
          <v:shape id="_x0000_i1072" o:spt="75" type="#_x0000_t75" style="height:31pt;width:70pt;" o:ole="t" filled="f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72" DrawAspect="Content" ObjectID="_1468075758" r:id="rId74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【点评】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① 求导数是在定义域内实行的．② 求较复杂的函数积、商的导数，必须细心、耐心．</w:t>
      </w:r>
    </w:p>
    <w:p>
      <w:pPr>
        <w:rPr>
          <w:rFonts w:hint="eastAsia"/>
        </w:rPr>
      </w:pPr>
      <w:r>
        <w:rPr>
          <w:rFonts w:hint="eastAsia"/>
        </w:rPr>
        <w:t>例3日常生活中的饮水通常是经过净化的．随着水纯净度的提高，所需净化费用不断增加．已知将1吨水净化到纯净度为</w:t>
      </w:r>
      <w:r>
        <w:rPr>
          <w:position w:val="-6"/>
        </w:rPr>
        <w:object>
          <v:shape id="_x0000_i1073" o:spt="75" type="#_x0000_t75" style="height:13.95pt;width:20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73" DrawAspect="Content" ObjectID="_1468075759" r:id="rId76">
            <o:LockedField>false</o:LockedField>
          </o:OLEObject>
        </w:object>
      </w:r>
      <w:r>
        <w:rPr>
          <w:rFonts w:hint="eastAsia"/>
        </w:rPr>
        <w:t>时所需费用（单位：元）为</w:t>
      </w:r>
    </w:p>
    <w:p>
      <w:pPr>
        <w:ind w:firstLine="1470" w:firstLineChars="700"/>
        <w:rPr>
          <w:rFonts w:hint="eastAsia"/>
        </w:rPr>
      </w:pPr>
      <w:r>
        <w:rPr>
          <w:position w:val="-24"/>
        </w:rPr>
        <w:object>
          <v:shape id="_x0000_i1074" o:spt="75" type="#_x0000_t75" style="height:31pt;width:138pt;" o:ole="t" filled="f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74" DrawAspect="Content" ObjectID="_1468075760" r:id="rId78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求净化到下列纯净度时，所需净化费用的瞬时变化率：（1）</w:t>
      </w:r>
      <w:r>
        <w:rPr>
          <w:position w:val="-6"/>
        </w:rPr>
        <w:object>
          <v:shape id="_x0000_i1075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61" r:id="rId80">
            <o:LockedField>false</o:LockedField>
          </o:OLEObject>
        </w:object>
      </w:r>
      <w:r>
        <w:rPr>
          <w:rFonts w:hint="eastAsia"/>
        </w:rPr>
        <w:t xml:space="preserve">  （2）</w:t>
      </w:r>
      <w:r>
        <w:rPr>
          <w:position w:val="-6"/>
        </w:rPr>
        <w:object>
          <v:shape id="_x0000_i1076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62" r:id="rId8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解：净化费用的瞬时变化率就是净化费用函数的导数．</w:t>
      </w:r>
    </w:p>
    <w:p>
      <w:pPr>
        <w:ind w:firstLine="1260" w:firstLineChars="600"/>
        <w:rPr>
          <w:rFonts w:hint="eastAsia"/>
        </w:rPr>
      </w:pPr>
      <w:r>
        <w:rPr>
          <w:position w:val="-28"/>
        </w:rPr>
        <w:object>
          <v:shape id="_x0000_i1077" o:spt="75" type="#_x0000_t75" style="height:35pt;width:263pt;" o:ole="t" filled="f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77" DrawAspect="Content" ObjectID="_1468075763" r:id="rId84">
            <o:LockedField>false</o:LockedField>
          </o:OLEObject>
        </w:object>
      </w:r>
    </w:p>
    <w:p>
      <w:pPr>
        <w:ind w:firstLine="1890" w:firstLineChars="900"/>
        <w:rPr>
          <w:rFonts w:hint="eastAsia"/>
        </w:rPr>
      </w:pPr>
      <w:r>
        <w:rPr>
          <w:position w:val="-28"/>
        </w:rPr>
        <w:object>
          <v:shape id="_x0000_i1078" o:spt="75" type="#_x0000_t75" style="height:33pt;width:135pt;" o:ole="t" filled="f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78" DrawAspect="Content" ObjectID="_1468075764" r:id="rId86">
            <o:LockedField>false</o:LockedField>
          </o:OLEObject>
        </w:object>
      </w:r>
      <w:r>
        <w:rPr>
          <w:position w:val="-28"/>
        </w:rPr>
        <w:object>
          <v:shape id="_x0000_i1079" o:spt="75" type="#_x0000_t75" style="height:33pt;width:63pt;" o:ole="t" filled="f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79" DrawAspect="Content" ObjectID="_1468075765" r:id="rId88">
            <o:LockedField>false</o:LockedField>
          </o:OLEObject>
        </w:objec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因为</w:t>
      </w:r>
      <w:r>
        <w:rPr>
          <w:position w:val="-28"/>
        </w:rPr>
        <w:object>
          <v:shape id="_x0000_i1080" o:spt="75" type="#_x0000_t75" style="height:33pt;width:134pt;" o:ole="t" filled="f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80" DrawAspect="Content" ObjectID="_1468075766" r:id="rId90">
            <o:LockedField>false</o:LockedField>
          </o:OLEObject>
        </w:object>
      </w:r>
      <w:r>
        <w:rPr>
          <w:rFonts w:hint="eastAsia"/>
        </w:rPr>
        <w:t>，所以，纯净度为</w:t>
      </w:r>
      <w:r>
        <w:rPr>
          <w:position w:val="-6"/>
        </w:rPr>
        <w:object>
          <v:shape id="_x0000_i1081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67" r:id="rId92">
            <o:LockedField>false</o:LockedField>
          </o:OLEObject>
        </w:object>
      </w:r>
      <w:r>
        <w:rPr>
          <w:rFonts w:hint="eastAsia"/>
        </w:rPr>
        <w:t>时，费用的瞬时变化率是52.84元/吨．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因为</w:t>
      </w:r>
      <w:r>
        <w:rPr>
          <w:position w:val="-28"/>
        </w:rPr>
        <w:object>
          <v:shape id="_x0000_i1082" o:spt="75" type="#_x0000_t75" style="height:33pt;width:129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68" r:id="rId93">
            <o:LockedField>false</o:LockedField>
          </o:OLEObject>
        </w:object>
      </w:r>
      <w:r>
        <w:rPr>
          <w:rFonts w:hint="eastAsia"/>
        </w:rPr>
        <w:t>，所以，纯净度为</w:t>
      </w:r>
      <w:r>
        <w:rPr>
          <w:position w:val="-6"/>
        </w:rPr>
        <w:object>
          <v:shape id="_x0000_i1083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69" r:id="rId95">
            <o:LockedField>false</o:LockedField>
          </o:OLEObject>
        </w:object>
      </w:r>
      <w:r>
        <w:rPr>
          <w:rFonts w:hint="eastAsia"/>
        </w:rPr>
        <w:t>时，费用的瞬时变化率是1321元/吨．</w:t>
      </w:r>
    </w:p>
    <w:p>
      <w:pPr>
        <w:rPr>
          <w:rFonts w:hint="eastAsia"/>
        </w:rPr>
      </w:pPr>
      <w:r>
        <w:rPr>
          <w:rFonts w:hint="eastAsia"/>
        </w:rPr>
        <w:t xml:space="preserve">   函数</w:t>
      </w:r>
      <w:r>
        <w:rPr>
          <w:position w:val="-10"/>
        </w:rPr>
        <w:object>
          <v:shape id="_x0000_i1084" o:spt="75" type="#_x0000_t75" style="height:16pt;width:27pt;" o:ole="t" filled="f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84" DrawAspect="Content" ObjectID="_1468075770" r:id="rId97">
            <o:LockedField>false</o:LockedField>
          </o:OLEObject>
        </w:object>
      </w:r>
      <w:r>
        <w:rPr>
          <w:rFonts w:hint="eastAsia"/>
        </w:rPr>
        <w:t>在某点处导数的大小表示函数在此点附近变化的快慢．由上述计算可知，</w:t>
      </w:r>
      <w:r>
        <w:rPr>
          <w:position w:val="-10"/>
        </w:rPr>
        <w:object>
          <v:shape id="_x0000_i1085" o:spt="75" type="#_x0000_t75" style="height:18pt;width:84pt;" o:ole="t" filled="f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85" DrawAspect="Content" ObjectID="_1468075771" r:id="rId99">
            <o:LockedField>false</o:LockedField>
          </o:OLEObject>
        </w:object>
      </w:r>
      <w:r>
        <w:rPr>
          <w:rFonts w:hint="eastAsia"/>
        </w:rPr>
        <w:t>．它表示纯净度为</w:t>
      </w:r>
      <w:r>
        <w:rPr>
          <w:position w:val="-6"/>
        </w:rPr>
        <w:object>
          <v:shape id="_x0000_i1086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72" r:id="rId101">
            <o:LockedField>false</o:LockedField>
          </o:OLEObject>
        </w:object>
      </w:r>
      <w:r>
        <w:rPr>
          <w:rFonts w:hint="eastAsia"/>
        </w:rPr>
        <w:t>左右时净化费用的瞬时变化率，大约是纯净度为</w:t>
      </w:r>
      <w:r>
        <w:rPr>
          <w:position w:val="-6"/>
        </w:rPr>
        <w:object>
          <v:shape id="_x0000_i1087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73" r:id="rId102">
            <o:LockedField>false</o:LockedField>
          </o:OLEObject>
        </w:object>
      </w:r>
      <w:r>
        <w:rPr>
          <w:rFonts w:hint="eastAsia"/>
        </w:rPr>
        <w:t>左右时净化费用的瞬时变化率的25倍．这说明，水的纯净度越高，需要的净化费用就越多，而且净化费用增加的速度也越快．</w:t>
      </w:r>
    </w:p>
    <w:p>
      <w:pPr>
        <w:rPr>
          <w:rFonts w:hint="eastAsia"/>
        </w:rPr>
      </w:pPr>
    </w:p>
    <w:p>
      <w:r>
        <w:rPr>
          <w:rFonts w:hint="eastAsia"/>
        </w:rPr>
        <w:t>　　</w:t>
      </w:r>
    </w:p>
    <w:p/>
    <w:p>
      <w:r>
        <w:br w:type="page"/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88C"/>
    <w:multiLevelType w:val="multilevel"/>
    <w:tmpl w:val="0353388C"/>
    <w:lvl w:ilvl="0" w:tentative="0">
      <w:start w:val="1"/>
      <w:numFmt w:val="decimal"/>
      <w:lvlText w:val="（%1）"/>
      <w:lvlJc w:val="left"/>
      <w:pPr>
        <w:tabs>
          <w:tab w:val="left" w:pos="1365"/>
        </w:tabs>
        <w:ind w:left="1365" w:hanging="94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3F3295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60" w:after="60" w:line="300" w:lineRule="exact"/>
      <w:jc w:val="center"/>
      <w:outlineLvl w:val="1"/>
    </w:pPr>
    <w:rPr>
      <w:rFonts w:ascii="Arial" w:hAnsi="Arial" w:eastAsia="黑体"/>
      <w:b/>
      <w:bCs/>
      <w:sz w:val="28"/>
      <w:szCs w:val="28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table" w:styleId="13">
    <w:name w:val="Table Grid"/>
    <w:basedOn w:val="12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6" Type="http://schemas.openxmlformats.org/officeDocument/2006/relationships/fontTable" Target="fontTable.xml"/><Relationship Id="rId105" Type="http://schemas.openxmlformats.org/officeDocument/2006/relationships/numbering" Target="numbering.xml"/><Relationship Id="rId104" Type="http://schemas.openxmlformats.org/officeDocument/2006/relationships/customXml" Target="../customXml/item1.xml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2016-08-24T04:02:00Z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