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应用举例知识点总结-高中数学必修5第一章</w:t>
      </w:r>
    </w:p>
    <w:p>
      <w:pPr>
        <w:ind w:firstLine="358" w:firstLineChars="170"/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解三角形应用举例</w:t>
      </w:r>
    </w:p>
    <w:p>
      <w:pPr>
        <w:ind w:firstLine="357" w:firstLineChars="17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目标认知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hAnsi="宋体"/>
          <w:b/>
          <w:color w:val="FF6600"/>
          <w:szCs w:val="21"/>
        </w:rPr>
        <w:t>学习目标：</w:t>
      </w:r>
      <w:r>
        <w:rPr>
          <w:rFonts w:hint="eastAsia" w:ascii="宋体" w:hAnsi="宋体"/>
          <w:szCs w:val="21"/>
        </w:rPr>
        <w:t>初步</w:t>
      </w:r>
      <w:r>
        <w:rPr>
          <w:szCs w:val="21"/>
        </w:rPr>
        <w:t>运用正弦定理、余弦定理等知识和方法解决一些有关计算角度</w:t>
      </w:r>
      <w:r>
        <w:rPr>
          <w:rFonts w:hint="eastAsia"/>
          <w:szCs w:val="21"/>
        </w:rPr>
        <w:t>和</w:t>
      </w:r>
      <w:r>
        <w:rPr>
          <w:szCs w:val="21"/>
        </w:rPr>
        <w:t>测量</w:t>
      </w:r>
      <w:r>
        <w:rPr>
          <w:rFonts w:hint="eastAsia"/>
          <w:szCs w:val="21"/>
        </w:rPr>
        <w:t>高度、</w:t>
      </w:r>
      <w:r>
        <w:rPr>
          <w:szCs w:val="21"/>
        </w:rPr>
        <w:t>距离</w:t>
      </w:r>
      <w:r>
        <w:rPr>
          <w:rFonts w:hint="eastAsia"/>
          <w:szCs w:val="21"/>
        </w:rPr>
        <w:t>以及</w:t>
      </w:r>
      <w:r>
        <w:rPr>
          <w:rFonts w:hint="eastAsia" w:ascii="宋体" w:hAnsi="宋体"/>
          <w:szCs w:val="21"/>
        </w:rPr>
        <w:t>航海等</w:t>
      </w:r>
      <w:r>
        <w:rPr>
          <w:szCs w:val="21"/>
        </w:rPr>
        <w:t>的实际问题，了解常用的测量相关术语</w:t>
      </w:r>
      <w:r>
        <w:rPr>
          <w:rFonts w:hint="eastAsia" w:ascii="宋体" w:hAnsi="宋体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重点：</w:t>
      </w:r>
      <w:r>
        <w:rPr>
          <w:rFonts w:hint="eastAsia" w:hAnsi="宋体"/>
          <w:szCs w:val="21"/>
        </w:rPr>
        <w:t>根据正弦定理、余弦定理的特点找到已知条件和所求角的关系，应用正、余弦定理解斜三角形，解决实际问题</w: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10" w:firstLineChars="147"/>
        <w:rPr>
          <w:rFonts w:hint="eastAsia"/>
        </w:rPr>
      </w:pPr>
      <w:r>
        <w:rPr>
          <w:rFonts w:hint="eastAsia"/>
          <w:b/>
          <w:color w:val="FF6600"/>
        </w:rPr>
        <w:t>难点：</w:t>
      </w:r>
      <w:r>
        <w:rPr>
          <w:rFonts w:hint="eastAsia"/>
        </w:rPr>
        <w:t>如何在理解题意的基础上将实际问题数学化，灵活运用正弦定理和余弦定理解关于角度的问题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学习策略：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解斜三角形的知识主要用于测量及航海两大类型问题.实际应用中，首先要弄清题意，画出直观示意图，将实际问题转化为解三角形的问题，再确定是哪类解三角形问题，即应用哪个定理来解决.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知识要点梳理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知识点一：实际问题中的一些名词、术语</w:t>
      </w:r>
    </w:p>
    <w:p>
      <w:pPr>
        <w:numPr>
          <w:ilvl w:val="0"/>
          <w:numId w:val="1"/>
        </w:numPr>
        <w:ind w:left="0" w:firstLine="358" w:firstLineChars="170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仰角和俯角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与目标视线在同一铅垂平面内的水平视线和目标视线的夹角，目标视线在水平视线上方时叫仰角，目标视线在水平视线下方时叫俯角，如图所示：</w:t>
      </w:r>
    </w:p>
    <w:p>
      <w:pPr>
        <w:ind w:firstLine="1302" w:firstLineChars="620"/>
        <w:rPr>
          <w:rFonts w:hint="eastAsia"/>
        </w:rPr>
      </w:pPr>
      <w:r>
        <w:drawing>
          <wp:inline distT="0" distB="0" distL="114300" distR="114300">
            <wp:extent cx="771525" cy="857250"/>
            <wp:effectExtent l="0" t="0" r="9525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302" w:firstLineChars="620"/>
        <w:rPr>
          <w:rFonts w:hint="eastAsia" w:ascii="宋体" w:hAnsi="宋体"/>
          <w:szCs w:val="21"/>
        </w:rPr>
      </w:pPr>
    </w:p>
    <w:p>
      <w:pPr>
        <w:numPr>
          <w:ilvl w:val="0"/>
          <w:numId w:val="1"/>
        </w:numPr>
        <w:ind w:left="0" w:firstLine="358" w:firstLineChars="170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坡角和坡度</w:t>
      </w:r>
    </w:p>
    <w:p>
      <w:pPr>
        <w:ind w:firstLine="359" w:firstLineChars="171"/>
        <w:jc w:val="left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szCs w:val="21"/>
        </w:rPr>
        <w:t>坡面与地平面所成的角度，叫做坡角；</w:t>
      </w:r>
      <w:r>
        <w:rPr>
          <w:rFonts w:ascii="宋体" w:hAnsi="宋体" w:cs="Arial"/>
          <w:color w:val="000000"/>
          <w:spacing w:val="5"/>
          <w:szCs w:val="21"/>
        </w:rPr>
        <w:t>坡面的铅直高度和水平宽度的比叫做坡度或</w:t>
      </w:r>
      <w:r>
        <w:rPr>
          <w:rFonts w:hint="eastAsia" w:ascii="宋体" w:hAnsi="宋体" w:cs="Arial"/>
          <w:color w:val="000000"/>
          <w:spacing w:val="5"/>
          <w:szCs w:val="21"/>
        </w:rPr>
        <w:t>者</w:t>
      </w:r>
      <w:r>
        <w:rPr>
          <w:rFonts w:ascii="宋体" w:hAnsi="宋体" w:cs="Arial"/>
          <w:spacing w:val="5"/>
          <w:szCs w:val="21"/>
        </w:rPr>
        <w:fldChar w:fldCharType="begin"/>
      </w:r>
      <w:r>
        <w:rPr>
          <w:rFonts w:ascii="宋体" w:hAnsi="宋体" w:cs="Arial"/>
          <w:spacing w:val="5"/>
          <w:szCs w:val="21"/>
        </w:rPr>
        <w:instrText xml:space="preserve"> HYPERLINK "http://baike.baidu.com/view/1001859.htm" \t "_blank" </w:instrText>
      </w:r>
      <w:r>
        <w:rPr>
          <w:rFonts w:ascii="宋体" w:hAnsi="宋体" w:cs="Arial"/>
          <w:spacing w:val="5"/>
          <w:szCs w:val="21"/>
        </w:rPr>
        <w:fldChar w:fldCharType="separate"/>
      </w:r>
      <w:r>
        <w:rPr>
          <w:rStyle w:val="11"/>
          <w:rFonts w:ascii="宋体" w:hAnsi="宋体" w:cs="Arial"/>
          <w:color w:val="auto"/>
          <w:spacing w:val="5"/>
          <w:szCs w:val="21"/>
          <w:u w:val="none"/>
        </w:rPr>
        <w:t>坡比</w:t>
      </w:r>
      <w:r>
        <w:rPr>
          <w:rFonts w:ascii="宋体" w:hAnsi="宋体" w:cs="Arial"/>
          <w:spacing w:val="5"/>
          <w:szCs w:val="21"/>
        </w:rPr>
        <w:fldChar w:fldCharType="end"/>
      </w:r>
      <w:r>
        <w:rPr>
          <w:rFonts w:hint="eastAsia" w:ascii="宋体" w:hAnsi="宋体" w:cs="Arial"/>
          <w:color w:val="000000"/>
          <w:spacing w:val="5"/>
          <w:szCs w:val="21"/>
        </w:rPr>
        <w:t>，常用</w:t>
      </w:r>
      <w:r>
        <w:rPr>
          <w:rFonts w:ascii="宋体" w:hAnsi="宋体" w:cs="Arial"/>
          <w:color w:val="000000"/>
          <w:spacing w:val="5"/>
          <w:szCs w:val="21"/>
        </w:rPr>
        <w:t>字母i表示。</w:t>
      </w:r>
      <w:r>
        <w:rPr>
          <w:rFonts w:hint="eastAsia" w:ascii="宋体" w:hAnsi="宋体" w:cs="Arial"/>
          <w:color w:val="000000"/>
          <w:spacing w:val="5"/>
          <w:szCs w:val="21"/>
        </w:rPr>
        <w:t>坡比是坡角的正切值。</w:t>
      </w:r>
    </w:p>
    <w:p>
      <w:pPr>
        <w:numPr>
          <w:ilvl w:val="0"/>
          <w:numId w:val="1"/>
        </w:numPr>
        <w:ind w:left="0" w:firstLine="358" w:firstLineChars="170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color w:val="0000FF"/>
          <w:szCs w:val="21"/>
        </w:rPr>
        <w:t>方位角与方向角：</w:t>
      </w:r>
    </w:p>
    <w:p>
      <w:pPr>
        <w:ind w:left="35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方位角：</w:t>
      </w:r>
      <w:r>
        <w:rPr>
          <w:rFonts w:hint="eastAsia" w:ascii="宋体" w:hAnsi="宋体"/>
          <w:szCs w:val="21"/>
        </w:rPr>
        <w:t>一般指正北方向线顺时针到目标方向线的水平角。</w:t>
      </w:r>
      <w:r>
        <w:rPr>
          <w:rFonts w:ascii="宋体" w:hAnsi="宋体" w:cs="宋体"/>
          <w:kern w:val="0"/>
          <w:szCs w:val="21"/>
        </w:rPr>
        <w:t>方位角的取值范围为0°～360°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ind w:left="35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如图，点</w:t>
      </w:r>
      <w:r>
        <w:rPr>
          <w:rFonts w:ascii="宋体" w:hAnsi="宋体"/>
          <w:position w:val="-4"/>
          <w:szCs w:val="21"/>
        </w:rPr>
        <w:object>
          <v:shape id="_x0000_i102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>的方位角是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143000" cy="106680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方向角：</w:t>
      </w:r>
      <w:r>
        <w:rPr>
          <w:rFonts w:ascii="宋体" w:hAnsi="宋体" w:cs="Arial"/>
          <w:szCs w:val="21"/>
        </w:rPr>
        <w:t>一般是指以观测者的位置为中心，将正北或正南方向作为起始方向旋转到目标的方向线所成的角(一般指锐角)，通常表达成北(南)偏东(西)</w:t>
      </w:r>
      <w:r>
        <w:rPr>
          <w:rFonts w:hint="eastAsia" w:ascii="宋体" w:hAnsi="宋体" w:cs="Arial"/>
          <w:szCs w:val="21"/>
        </w:rPr>
        <w:t>多少</w:t>
      </w:r>
      <w:r>
        <w:rPr>
          <w:rFonts w:ascii="宋体" w:hAnsi="宋体" w:cs="Arial"/>
          <w:szCs w:val="21"/>
        </w:rPr>
        <w:t>度</w:t>
      </w:r>
      <w:r>
        <w:rPr>
          <w:rFonts w:hint="eastAsia" w:ascii="宋体" w:hAnsi="宋体" w:cs="Arial"/>
          <w:szCs w:val="21"/>
        </w:rPr>
        <w:t>。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如图为南偏西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方向（指以正南方向为始边，向正西方向旋转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）；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000125" cy="866775"/>
            <wp:effectExtent l="0" t="0" r="9525" b="952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如图为北偏东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方向（指从正北开始向正东方向旋转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0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）.</w: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146175" cy="1139825"/>
            <wp:effectExtent l="0" t="0" r="15875" b="3175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东南方向：</w:t>
      </w:r>
      <w:r>
        <w:rPr>
          <w:rFonts w:hint="eastAsia" w:ascii="宋体" w:hAnsi="宋体"/>
          <w:szCs w:val="21"/>
        </w:rPr>
        <w:t>指经过目标的射线是正东与正南的夹角平分线.依此可类推西南方向、西北方向等；</w:t>
      </w:r>
    </w:p>
    <w:p>
      <w:pPr>
        <w:ind w:firstLine="882" w:firstLineChars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158240" cy="1082040"/>
            <wp:effectExtent l="0" t="0" r="3810" b="3810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知识点二：解三角形应用题的一般步骤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(1)准确理解题意，尤其要理解应用题中的有关名词和术语；明确已知和所求，理清量与量之间的关系；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(2)根据题意画出示意图，并将已知条件在图形中标出，将实际问题抽象成解三角形模型；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 分析与所研究的问题有关的一个或几个三角形，正确运用正弦定理和余弦定理，有顺序的求解；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(4)将三角形的解还原为实际问题，注意实际问题中的单位及近似计算要求，回答实际问题.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知识点三：常见应用题型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正弦定理和余弦定理解三角形的常见题型有：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测量高度问题；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测量距离问题；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测量角度问题；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计算面积问题；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航海问题；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物理问题等.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E4901"/>
    <w:multiLevelType w:val="multilevel"/>
    <w:tmpl w:val="4B3E4901"/>
    <w:lvl w:ilvl="0" w:tentative="0">
      <w:start w:val="1"/>
      <w:numFmt w:val="decimal"/>
      <w:lvlText w:val="%1."/>
      <w:lvlJc w:val="left"/>
      <w:pPr>
        <w:tabs>
          <w:tab w:val="left" w:pos="717"/>
        </w:tabs>
        <w:ind w:left="71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97"/>
        </w:tabs>
        <w:ind w:left="1197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17"/>
        </w:tabs>
        <w:ind w:left="1617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7"/>
        </w:tabs>
        <w:ind w:left="2037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7"/>
        </w:tabs>
        <w:ind w:left="2457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7"/>
        </w:tabs>
        <w:ind w:left="2877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7"/>
        </w:tabs>
        <w:ind w:left="3297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7"/>
        </w:tabs>
        <w:ind w:left="3717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7"/>
        </w:tabs>
        <w:ind w:left="4137" w:hanging="420"/>
      </w:pPr>
    </w:lvl>
  </w:abstractNum>
  <w:abstractNum w:abstractNumId="1">
    <w:nsid w:val="5D90162B"/>
    <w:multiLevelType w:val="multilevel"/>
    <w:tmpl w:val="5D90162B"/>
    <w:lvl w:ilvl="0" w:tentative="0">
      <w:start w:val="1"/>
      <w:numFmt w:val="decimal"/>
      <w:lvlText w:val="%1."/>
      <w:lvlJc w:val="left"/>
      <w:pPr>
        <w:tabs>
          <w:tab w:val="left" w:pos="717"/>
        </w:tabs>
        <w:ind w:left="71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97"/>
        </w:tabs>
        <w:ind w:left="1197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17"/>
        </w:tabs>
        <w:ind w:left="1617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7"/>
        </w:tabs>
        <w:ind w:left="2037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7"/>
        </w:tabs>
        <w:ind w:left="2457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7"/>
        </w:tabs>
        <w:ind w:left="2877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7"/>
        </w:tabs>
        <w:ind w:left="3297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7"/>
        </w:tabs>
        <w:ind w:left="3717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7"/>
        </w:tabs>
        <w:ind w:left="413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3633F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2016-08-09T02:53:26Z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